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Organization</w:t>
      </w:r>
      <w:r w:rsidDel="00000000" w:rsidR="00000000" w:rsidRPr="00000000">
        <w:rPr>
          <w:color w:val="222222"/>
          <w:highlight w:val="white"/>
          <w:rtl w:val="0"/>
        </w:rPr>
        <w:t xml:space="preserve">: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TCare</w:t>
      </w:r>
    </w:p>
    <w:p w:rsidR="00000000" w:rsidDel="00000000" w:rsidP="00000000" w:rsidRDefault="00000000" w:rsidRPr="00000000" w14:paraId="00000003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Description:</w:t>
      </w: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TCARE</w:t>
        </w:r>
      </w:hyperlink>
      <w:r w:rsidDel="00000000" w:rsidR="00000000" w:rsidRPr="00000000">
        <w:rPr>
          <w:color w:val="222222"/>
          <w:rtl w:val="0"/>
        </w:rPr>
        <w:t xml:space="preserve"> is an award-winning, evidence-based, and federally approved platform that combines data technology and tailored support to increase the well-being of family caregivers. Its patented clinical protocol combines 15+ years of caregiver insights, advanced data analytics, and high-touch human support to identify, mitigate, and continuously monitor caregiver burnout risk. TCARE partners with managed care organizations, long-term insurance providers, employers, and other group entities to deliver clinically proven caregiver support to the caregivers in or supporting their populations. TCARE also provides a patented “Family Caregiver Insurance” product, a first-to-market insurance offering combining caregiver expense protection and tailored caregiver support. For more information, visit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www.tcare.ai/for-caregivers/caregiver-support</w:t>
        </w:r>
      </w:hyperlink>
      <w:r w:rsidDel="00000000" w:rsidR="00000000" w:rsidRPr="00000000">
        <w:rPr>
          <w:color w:val="222222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Contact</w:t>
      </w:r>
      <w:r w:rsidDel="00000000" w:rsidR="00000000" w:rsidRPr="00000000">
        <w:rPr>
          <w:color w:val="222222"/>
          <w:rtl w:val="0"/>
        </w:rPr>
        <w:t xml:space="preserve">: Joe Malnar</w:t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Lines w:val="1"/>
        <w:spacing w:after="0" w:line="240" w:lineRule="auto"/>
        <w:ind w:left="0" w:firstLine="0"/>
        <w:rPr>
          <w:b w:val="1"/>
          <w:color w:val="222222"/>
          <w:u w:val="single"/>
        </w:rPr>
      </w:pPr>
      <w:r w:rsidDel="00000000" w:rsidR="00000000" w:rsidRPr="00000000">
        <w:rPr>
          <w:b w:val="1"/>
          <w:color w:val="222222"/>
          <w:u w:val="single"/>
          <w:rtl w:val="0"/>
        </w:rPr>
        <w:t xml:space="preserve">Current TCARE address: </w:t>
      </w:r>
    </w:p>
    <w:p w:rsidR="00000000" w:rsidDel="00000000" w:rsidP="00000000" w:rsidRDefault="00000000" w:rsidRPr="00000000" w14:paraId="0000000B">
      <w:pPr>
        <w:keepLines w:val="1"/>
        <w:spacing w:after="0" w:line="240" w:lineRule="auto"/>
        <w:ind w:left="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511 N Garrison Ave</w:t>
      </w:r>
    </w:p>
    <w:p w:rsidR="00000000" w:rsidDel="00000000" w:rsidP="00000000" w:rsidRDefault="00000000" w:rsidRPr="00000000" w14:paraId="0000000C">
      <w:pPr>
        <w:keepLines w:val="1"/>
        <w:spacing w:after="0" w:line="240" w:lineRule="auto"/>
        <w:ind w:left="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St. Louis, MO 63103 </w:t>
      </w:r>
    </w:p>
    <w:p w:rsidR="00000000" w:rsidDel="00000000" w:rsidP="00000000" w:rsidRDefault="00000000" w:rsidRPr="00000000" w14:paraId="0000000D">
      <w:pPr>
        <w:keepLines w:val="1"/>
        <w:spacing w:after="0" w:line="240" w:lineRule="auto"/>
        <w:ind w:left="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0" w:firstLine="0"/>
        <w:rPr>
          <w:b w:val="1"/>
          <w:color w:val="222222"/>
          <w:u w:val="single"/>
        </w:rPr>
      </w:pPr>
      <w:r w:rsidDel="00000000" w:rsidR="00000000" w:rsidRPr="00000000">
        <w:rPr>
          <w:b w:val="1"/>
          <w:color w:val="222222"/>
          <w:u w:val="single"/>
          <w:rtl w:val="0"/>
        </w:rPr>
        <w:t xml:space="preserve">Our address starting Dec 1</w:t>
      </w:r>
      <w:r w:rsidDel="00000000" w:rsidR="00000000" w:rsidRPr="00000000">
        <w:rPr>
          <w:b w:val="1"/>
          <w:color w:val="222222"/>
          <w:u w:val="single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color w:val="22222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0" w:line="240" w:lineRule="auto"/>
        <w:ind w:left="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1260 S Vandeventer Ave </w:t>
      </w:r>
    </w:p>
    <w:p w:rsidR="00000000" w:rsidDel="00000000" w:rsidP="00000000" w:rsidRDefault="00000000" w:rsidRPr="00000000" w14:paraId="00000010">
      <w:pPr>
        <w:spacing w:after="0" w:line="240" w:lineRule="auto"/>
        <w:ind w:left="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St. Louis 63110</w:t>
      </w:r>
    </w:p>
    <w:p w:rsidR="00000000" w:rsidDel="00000000" w:rsidP="00000000" w:rsidRDefault="00000000" w:rsidRPr="00000000" w14:paraId="00000011">
      <w:pPr>
        <w:spacing w:after="0" w:line="240" w:lineRule="auto"/>
        <w:ind w:left="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Email: </w:t>
      </w:r>
      <w:r w:rsidDel="00000000" w:rsidR="00000000" w:rsidRPr="00000000">
        <w:rPr>
          <w:color w:val="1155cc"/>
          <w:rtl w:val="0"/>
        </w:rPr>
        <w:t xml:space="preserve">Jmalnar@tcare.ai</w:t>
      </w: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0" w:line="240" w:lineRule="auto"/>
        <w:ind w:left="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Phone: 636-233-7249</w:t>
      </w:r>
    </w:p>
    <w:p w:rsidR="00000000" w:rsidDel="00000000" w:rsidP="00000000" w:rsidRDefault="00000000" w:rsidRPr="00000000" w14:paraId="00000014">
      <w:pPr>
        <w:spacing w:after="0" w:lineRule="auto"/>
        <w:ind w:left="0" w:firstLine="0"/>
        <w:rPr>
          <w:color w:val="1155cc"/>
          <w:u w:val="single"/>
        </w:rPr>
      </w:pPr>
      <w:r w:rsidDel="00000000" w:rsidR="00000000" w:rsidRPr="00000000">
        <w:rPr>
          <w:color w:val="222222"/>
          <w:rtl w:val="0"/>
        </w:rPr>
        <w:t xml:space="preserve">Website -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https://www.tcare.ai/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ind w:left="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LinkedIn -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https://www.linkedin.com/company/tcareinc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ind w:left="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left="0" w:firstLine="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Additional information:</w:t>
      </w:r>
    </w:p>
    <w:p w:rsidR="00000000" w:rsidDel="00000000" w:rsidP="00000000" w:rsidRDefault="00000000" w:rsidRPr="00000000" w14:paraId="00000018">
      <w:pPr>
        <w:spacing w:after="0" w:lineRule="auto"/>
        <w:ind w:left="0" w:firstLine="0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ind w:left="0" w:firstLine="0"/>
        <w:rPr>
          <w:color w:val="222222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USA Today video</w:t>
        </w:r>
      </w:hyperlink>
      <w:r w:rsidDel="00000000" w:rsidR="00000000" w:rsidRPr="00000000">
        <w:rPr>
          <w:color w:val="222222"/>
          <w:rtl w:val="0"/>
        </w:rPr>
        <w:t xml:space="preserve"> featuring Ali, in collaboration with DAV</w:t>
      </w:r>
    </w:p>
    <w:p w:rsidR="00000000" w:rsidDel="00000000" w:rsidP="00000000" w:rsidRDefault="00000000" w:rsidRPr="00000000" w14:paraId="0000001A">
      <w:pPr>
        <w:spacing w:after="0" w:lineRule="auto"/>
        <w:ind w:left="0" w:firstLine="0"/>
        <w:rPr>
          <w:color w:val="222222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CEO perspective</w:t>
        </w:r>
      </w:hyperlink>
      <w:r w:rsidDel="00000000" w:rsidR="00000000" w:rsidRPr="00000000">
        <w:rPr>
          <w:color w:val="222222"/>
          <w:rtl w:val="0"/>
        </w:rPr>
        <w:t xml:space="preserve"> with Ali, from RGAX</w:t>
      </w:r>
    </w:p>
    <w:p w:rsidR="00000000" w:rsidDel="00000000" w:rsidP="00000000" w:rsidRDefault="00000000" w:rsidRPr="00000000" w14:paraId="0000001B">
      <w:pPr>
        <w:spacing w:after="0" w:lineRule="auto"/>
        <w:ind w:left="0" w:firstLine="0"/>
        <w:rPr>
          <w:color w:val="222222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Rosalynn Carter</w:t>
        </w:r>
      </w:hyperlink>
      <w:r w:rsidDel="00000000" w:rsidR="00000000" w:rsidRPr="00000000">
        <w:rPr>
          <w:color w:val="222222"/>
          <w:rtl w:val="0"/>
        </w:rPr>
        <w:t xml:space="preserve"> Leadership in Caregiving award</w:t>
      </w: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rgax.com/blog/technology-caregivers" TargetMode="External"/><Relationship Id="rId10" Type="http://schemas.openxmlformats.org/officeDocument/2006/relationships/hyperlink" Target="https://www.usatoday.com/story/sponsor-story/disabled-american-veterans/2022/09/29/organization-helping-keep-promise-americas-veterans/10442993002/" TargetMode="External"/><Relationship Id="rId12" Type="http://schemas.openxmlformats.org/officeDocument/2006/relationships/hyperlink" Target="https://medium.com/tcare-press/honoring-dr-montgomerys-leadership-in-caregiving-award-by-rosalynn-carter-6c312e29dccb" TargetMode="External"/><Relationship Id="rId9" Type="http://schemas.openxmlformats.org/officeDocument/2006/relationships/hyperlink" Target="https://www.linkedin.com/company/tcareinc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tcare.ai/" TargetMode="External"/><Relationship Id="rId7" Type="http://schemas.openxmlformats.org/officeDocument/2006/relationships/hyperlink" Target="http://www.tcare.ai/for-caregivers/caregiver-support" TargetMode="External"/><Relationship Id="rId8" Type="http://schemas.openxmlformats.org/officeDocument/2006/relationships/hyperlink" Target="https://www.tcare.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